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45" w:rsidRDefault="001D6945" w:rsidP="00DF1DF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1D6945">
        <w:rPr>
          <w:rFonts w:asciiTheme="majorBidi" w:hAnsiTheme="majorBidi" w:cstheme="majorBidi"/>
          <w:b/>
          <w:bCs/>
          <w:color w:val="000000"/>
          <w:shd w:val="clear" w:color="auto" w:fill="FFFFFF"/>
        </w:rPr>
        <w:t>EFFECT OF DABIGATRAN ON PLATELET REACTIVITY-A PROOF OF CONCEPT STUDY</w:t>
      </w:r>
    </w:p>
    <w:p w:rsidR="00B921ED" w:rsidRDefault="001D6945" w:rsidP="00DF1DFD">
      <w:pPr>
        <w:widowControl w:val="0"/>
        <w:autoSpaceDE w:val="0"/>
        <w:autoSpaceDN w:val="0"/>
        <w:adjustRightInd w:val="0"/>
      </w:pPr>
      <w:r w:rsidRPr="009E1324">
        <w:rPr>
          <w:rFonts w:asciiTheme="majorBidi" w:hAnsiTheme="majorBidi" w:cstheme="majorBidi"/>
        </w:rPr>
        <w:t>S.R. Devabhaktuni</w:t>
      </w:r>
      <w:r w:rsidRPr="009E1324">
        <w:rPr>
          <w:rFonts w:asciiTheme="majorBidi" w:hAnsiTheme="majorBidi" w:cstheme="majorBidi"/>
          <w:vertAlign w:val="superscript"/>
        </w:rPr>
        <w:t>1</w:t>
      </w:r>
      <w:r w:rsidRPr="001D6945">
        <w:rPr>
          <w:rFonts w:asciiTheme="majorBidi" w:hAnsiTheme="majorBidi" w:cstheme="majorBidi"/>
          <w:b/>
          <w:bCs/>
        </w:rPr>
        <w:t xml:space="preserve">, </w:t>
      </w:r>
      <w:r w:rsidRPr="009E1324">
        <w:rPr>
          <w:rFonts w:asciiTheme="majorBidi" w:hAnsiTheme="majorBidi" w:cstheme="majorBidi"/>
          <w:b/>
          <w:bCs/>
          <w:u w:val="single"/>
        </w:rPr>
        <w:t>A.</w:t>
      </w:r>
      <w:r w:rsidRPr="009E1324">
        <w:rPr>
          <w:b/>
          <w:bCs/>
          <w:u w:val="single"/>
        </w:rPr>
        <w:t xml:space="preserve"> </w:t>
      </w:r>
      <w:r w:rsidR="00B921ED" w:rsidRPr="009E1324">
        <w:rPr>
          <w:b/>
          <w:bCs/>
          <w:u w:val="single"/>
        </w:rPr>
        <w:t>Annapureddy</w:t>
      </w:r>
      <w:r w:rsidR="00DF1DFD" w:rsidRPr="009E1324">
        <w:rPr>
          <w:b/>
          <w:bCs/>
          <w:u w:val="single"/>
          <w:vertAlign w:val="superscript"/>
        </w:rPr>
        <w:t>2</w:t>
      </w:r>
      <w:r w:rsidR="00B921ED">
        <w:t>, A</w:t>
      </w:r>
      <w:r w:rsidR="00DF1DFD">
        <w:t>.</w:t>
      </w:r>
      <w:r w:rsidR="00B921ED">
        <w:t xml:space="preserve"> Namazi</w:t>
      </w:r>
      <w:r w:rsidR="00DF1DFD" w:rsidRPr="00DF1DFD">
        <w:rPr>
          <w:vertAlign w:val="superscript"/>
        </w:rPr>
        <w:t>1</w:t>
      </w:r>
      <w:r w:rsidR="00B921ED">
        <w:t>, A</w:t>
      </w:r>
      <w:r w:rsidR="00DF1DFD">
        <w:t>.</w:t>
      </w:r>
      <w:r w:rsidR="00B921ED">
        <w:t xml:space="preserve"> Malik</w:t>
      </w:r>
      <w:r w:rsidR="00DF1DFD" w:rsidRPr="00DF1DFD">
        <w:rPr>
          <w:vertAlign w:val="superscript"/>
        </w:rPr>
        <w:t>1</w:t>
      </w:r>
      <w:r w:rsidR="00B921ED">
        <w:t>, L</w:t>
      </w:r>
      <w:r w:rsidR="00DF1DFD">
        <w:t>.</w:t>
      </w:r>
      <w:r w:rsidR="00B921ED">
        <w:t xml:space="preserve"> Dizon</w:t>
      </w:r>
      <w:r w:rsidR="00DF1DFD" w:rsidRPr="00DF1DFD">
        <w:rPr>
          <w:vertAlign w:val="superscript"/>
        </w:rPr>
        <w:t>3</w:t>
      </w:r>
      <w:r w:rsidR="00B921ED">
        <w:t>, C</w:t>
      </w:r>
      <w:r w:rsidR="00DF1DFD">
        <w:t>.</w:t>
      </w:r>
      <w:r w:rsidR="00B921ED">
        <w:t xml:space="preserve"> Miranda</w:t>
      </w:r>
      <w:r w:rsidR="00DF1DFD" w:rsidRPr="00DF1DFD">
        <w:rPr>
          <w:vertAlign w:val="superscript"/>
        </w:rPr>
        <w:t>4</w:t>
      </w:r>
      <w:r w:rsidR="00B921ED">
        <w:t>, A</w:t>
      </w:r>
      <w:r w:rsidR="00DF1DFD">
        <w:t>.</w:t>
      </w:r>
      <w:r w:rsidR="00B921ED">
        <w:t xml:space="preserve"> Gururaj</w:t>
      </w:r>
      <w:r w:rsidR="00DF1DFD" w:rsidRPr="00DF1DFD">
        <w:rPr>
          <w:vertAlign w:val="superscript"/>
        </w:rPr>
        <w:t>1</w:t>
      </w:r>
      <w:r w:rsidR="00B921ED">
        <w:t>, C</w:t>
      </w:r>
      <w:r w:rsidR="00DF1DFD">
        <w:t>.</w:t>
      </w:r>
      <w:r w:rsidR="00B921ED">
        <w:t xml:space="preserve"> Ahsan</w:t>
      </w:r>
      <w:r w:rsidR="00DF1DFD" w:rsidRPr="00DF1DFD">
        <w:rPr>
          <w:vertAlign w:val="superscript"/>
        </w:rPr>
        <w:t>1</w:t>
      </w:r>
    </w:p>
    <w:p w:rsidR="00DF1DFD" w:rsidRDefault="00DF1DFD" w:rsidP="00DF1DFD">
      <w:pPr>
        <w:widowControl w:val="0"/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 xml:space="preserve">1. </w:t>
      </w:r>
      <w:r w:rsidR="00B921ED">
        <w:rPr>
          <w:color w:val="000000"/>
        </w:rPr>
        <w:t>University of Nevada</w:t>
      </w:r>
      <w:proofErr w:type="gramEnd"/>
      <w:r w:rsidR="00B921ED">
        <w:rPr>
          <w:color w:val="000000"/>
        </w:rPr>
        <w:t xml:space="preserve"> </w:t>
      </w:r>
      <w:r>
        <w:rPr>
          <w:color w:val="000000"/>
        </w:rPr>
        <w:t>School of Medicine</w:t>
      </w:r>
      <w:r w:rsidR="00B921ED">
        <w:rPr>
          <w:color w:val="000000"/>
        </w:rPr>
        <w:t>, Las Vegas, NV,</w:t>
      </w:r>
      <w:r>
        <w:rPr>
          <w:color w:val="000000"/>
        </w:rPr>
        <w:t xml:space="preserve"> </w:t>
      </w:r>
      <w:r w:rsidR="00B921ED">
        <w:rPr>
          <w:color w:val="000000"/>
        </w:rPr>
        <w:t>USA</w:t>
      </w:r>
    </w:p>
    <w:p w:rsidR="00DF1DFD" w:rsidRDefault="00DF1DFD" w:rsidP="00DF1DF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</w:t>
      </w:r>
      <w:r w:rsidR="00B921ED">
        <w:rPr>
          <w:color w:val="000000"/>
        </w:rPr>
        <w:t>Griffin hospital,</w:t>
      </w:r>
      <w:r>
        <w:rPr>
          <w:color w:val="000000"/>
        </w:rPr>
        <w:t xml:space="preserve"> </w:t>
      </w:r>
      <w:r w:rsidR="00B921ED">
        <w:rPr>
          <w:color w:val="000000"/>
        </w:rPr>
        <w:t>Derby,</w:t>
      </w:r>
      <w:r>
        <w:rPr>
          <w:color w:val="000000"/>
        </w:rPr>
        <w:t xml:space="preserve"> </w:t>
      </w:r>
      <w:r w:rsidR="00B921ED">
        <w:rPr>
          <w:color w:val="000000"/>
        </w:rPr>
        <w:t>C</w:t>
      </w:r>
      <w:bookmarkStart w:id="0" w:name="_GoBack"/>
      <w:bookmarkEnd w:id="0"/>
      <w:r w:rsidR="00B921ED">
        <w:rPr>
          <w:color w:val="000000"/>
        </w:rPr>
        <w:t>T,</w:t>
      </w:r>
      <w:r>
        <w:rPr>
          <w:color w:val="000000"/>
        </w:rPr>
        <w:t xml:space="preserve"> </w:t>
      </w:r>
      <w:r w:rsidR="00B921ED">
        <w:rPr>
          <w:color w:val="000000"/>
        </w:rPr>
        <w:t>USA</w:t>
      </w:r>
    </w:p>
    <w:p w:rsidR="00DF1DFD" w:rsidRDefault="00DF1DFD" w:rsidP="00DF1DF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3. </w:t>
      </w:r>
      <w:r w:rsidR="00B921ED">
        <w:rPr>
          <w:color w:val="000000"/>
        </w:rPr>
        <w:t>UMC,</w:t>
      </w:r>
      <w:r>
        <w:rPr>
          <w:color w:val="000000"/>
        </w:rPr>
        <w:t xml:space="preserve"> </w:t>
      </w:r>
      <w:r w:rsidR="00B921ED">
        <w:rPr>
          <w:color w:val="000000"/>
        </w:rPr>
        <w:t>Las Vegas, NV,</w:t>
      </w:r>
      <w:r>
        <w:rPr>
          <w:color w:val="000000"/>
        </w:rPr>
        <w:t xml:space="preserve"> </w:t>
      </w:r>
      <w:r w:rsidR="00B921ED">
        <w:rPr>
          <w:color w:val="000000"/>
        </w:rPr>
        <w:t>USA</w:t>
      </w:r>
    </w:p>
    <w:p w:rsidR="00B921ED" w:rsidRDefault="00DF1DFD" w:rsidP="00DF1DF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4. </w:t>
      </w:r>
      <w:r w:rsidR="00B921ED">
        <w:rPr>
          <w:color w:val="000000"/>
        </w:rPr>
        <w:t>NHVC, Las Vegas, NV,</w:t>
      </w:r>
      <w:r>
        <w:rPr>
          <w:color w:val="000000"/>
        </w:rPr>
        <w:t xml:space="preserve"> </w:t>
      </w:r>
      <w:r w:rsidR="00B921ED">
        <w:rPr>
          <w:color w:val="000000"/>
        </w:rPr>
        <w:t>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DF1DFD" w:rsidRDefault="00B921ED">
      <w:pPr>
        <w:widowControl w:val="0"/>
        <w:autoSpaceDE w:val="0"/>
        <w:autoSpaceDN w:val="0"/>
        <w:adjustRightInd w:val="0"/>
        <w:jc w:val="both"/>
      </w:pPr>
      <w:r w:rsidRPr="00DF1DFD">
        <w:rPr>
          <w:i/>
          <w:iCs/>
        </w:rPr>
        <w:t>Background</w:t>
      </w:r>
      <w:r>
        <w:t>:</w:t>
      </w:r>
      <w:r w:rsidR="00DF1DFD">
        <w:t xml:space="preserve"> </w:t>
      </w:r>
      <w:r>
        <w:t>Dabigatran is a new oral anticoagulant, a direct thrombin inhibitor approved for use in non-</w:t>
      </w:r>
      <w:proofErr w:type="spellStart"/>
      <w:r>
        <w:t>valvular</w:t>
      </w:r>
      <w:proofErr w:type="spellEnd"/>
      <w:r>
        <w:t xml:space="preserve"> atrial fibrillation and pulmonary embolism management. It was associated with statistically non-significant increase in risk of MI in several trials. Previous study showed that thrombin receptor- activated peptide (TRAP) mediated platelet aggregation is less with both dabigatran and warfarin, but there was less inhibition of </w:t>
      </w:r>
      <w:proofErr w:type="gramStart"/>
      <w:r>
        <w:t>platelet</w:t>
      </w:r>
      <w:proofErr w:type="gramEnd"/>
      <w:r>
        <w:t xml:space="preserve"> aggregation by dabigatran compared to warfarin. To our knowledge no study has reported the effect of dabigatran and warfarin on platelet reactivity unit (PRU) values assessed by point of care </w:t>
      </w:r>
      <w:proofErr w:type="spellStart"/>
      <w:r>
        <w:t>VerifyNow</w:t>
      </w:r>
      <w:proofErr w:type="spellEnd"/>
      <w:r>
        <w:t xml:space="preserve"> P2Y12 test.</w:t>
      </w:r>
    </w:p>
    <w:p w:rsidR="00DF1DFD" w:rsidRDefault="00B921ED">
      <w:pPr>
        <w:widowControl w:val="0"/>
        <w:autoSpaceDE w:val="0"/>
        <w:autoSpaceDN w:val="0"/>
        <w:adjustRightInd w:val="0"/>
        <w:jc w:val="both"/>
      </w:pPr>
      <w:r w:rsidRPr="00DF1DFD">
        <w:rPr>
          <w:i/>
          <w:iCs/>
        </w:rPr>
        <w:t>Objective</w:t>
      </w:r>
      <w:r>
        <w:t xml:space="preserve">: We hypothesized that the trend towards increased MI events in patients receiving Dabigatran could be due to an increase in platelet reactivity as measured by the </w:t>
      </w:r>
      <w:proofErr w:type="spellStart"/>
      <w:r>
        <w:t>VerifyNow</w:t>
      </w:r>
      <w:proofErr w:type="spellEnd"/>
      <w:r>
        <w:t xml:space="preserve"> P2Y12 test.</w:t>
      </w:r>
    </w:p>
    <w:p w:rsidR="00DF1DFD" w:rsidRDefault="00B921ED">
      <w:pPr>
        <w:widowControl w:val="0"/>
        <w:autoSpaceDE w:val="0"/>
        <w:autoSpaceDN w:val="0"/>
        <w:adjustRightInd w:val="0"/>
        <w:jc w:val="both"/>
      </w:pPr>
      <w:r w:rsidRPr="00DF1DFD">
        <w:rPr>
          <w:i/>
          <w:iCs/>
        </w:rPr>
        <w:t>Methods</w:t>
      </w:r>
      <w:r>
        <w:t xml:space="preserve">: This is a proof of concept study. We enrolled 40 patients who have been on dabigatran or warfarin for at least 6 months into one of the two study arms: Dabigatran arm or Warfarin arm. Platelet reactivity was measured by </w:t>
      </w:r>
      <w:proofErr w:type="spellStart"/>
      <w:r>
        <w:t>Accriva’s</w:t>
      </w:r>
      <w:proofErr w:type="spellEnd"/>
      <w:r>
        <w:t xml:space="preserve"> </w:t>
      </w:r>
      <w:proofErr w:type="spellStart"/>
      <w:r>
        <w:t>VerifyNow</w:t>
      </w:r>
      <w:proofErr w:type="spellEnd"/>
      <w:r>
        <w:t xml:space="preserve"> device and the PRU values were recorded. Analysis was done using Student t-test.</w:t>
      </w:r>
    </w:p>
    <w:p w:rsidR="00DF1DFD" w:rsidRDefault="00B921ED">
      <w:pPr>
        <w:widowControl w:val="0"/>
        <w:autoSpaceDE w:val="0"/>
        <w:autoSpaceDN w:val="0"/>
        <w:adjustRightInd w:val="0"/>
        <w:jc w:val="both"/>
      </w:pPr>
      <w:r w:rsidRPr="00DF1DFD">
        <w:rPr>
          <w:i/>
          <w:iCs/>
        </w:rPr>
        <w:t>Results</w:t>
      </w:r>
      <w:r>
        <w:t>: The mean PRU value in Dabigatran group was 222.4 with SD of 35.19.The mean PRU value in Coumadin group was 235.25 with SD of 34.49. T value was 1.498.Two-tailed P value was 0.25 with 95 CI ranging from -35.47 to 9.77.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DF1DFD">
        <w:rPr>
          <w:i/>
          <w:iCs/>
        </w:rPr>
        <w:t>Conclusion</w:t>
      </w:r>
      <w:r>
        <w:t>:</w:t>
      </w:r>
      <w:r w:rsidR="00DF1DFD">
        <w:t xml:space="preserve"> </w:t>
      </w:r>
      <w:r>
        <w:t xml:space="preserve">Platelet reactivity assessed by </w:t>
      </w:r>
      <w:proofErr w:type="spellStart"/>
      <w:r>
        <w:t>VerifyNow</w:t>
      </w:r>
      <w:proofErr w:type="spellEnd"/>
      <w:r>
        <w:t xml:space="preserve"> did not differ in the two groups. These findings do not explain the observed trend in increased events of MI in the large clinical trials with dabigatran.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35" w:rsidRDefault="00F34035" w:rsidP="00DF1DFD">
      <w:r>
        <w:separator/>
      </w:r>
    </w:p>
  </w:endnote>
  <w:endnote w:type="continuationSeparator" w:id="0">
    <w:p w:rsidR="00F34035" w:rsidRDefault="00F34035" w:rsidP="00DF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35" w:rsidRDefault="00F34035" w:rsidP="00DF1DFD">
      <w:r>
        <w:separator/>
      </w:r>
    </w:p>
  </w:footnote>
  <w:footnote w:type="continuationSeparator" w:id="0">
    <w:p w:rsidR="00F34035" w:rsidRDefault="00F34035" w:rsidP="00DF1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FD" w:rsidRDefault="00DF1DFD" w:rsidP="00DF1DFD">
    <w:pPr>
      <w:pStyle w:val="Header"/>
    </w:pPr>
    <w:r>
      <w:t>1141         either    Cat: Miscellaneous</w:t>
    </w:r>
  </w:p>
  <w:p w:rsidR="00DF1DFD" w:rsidRDefault="00DF1D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064C1F"/>
    <w:rsid w:val="001D6945"/>
    <w:rsid w:val="00447B2F"/>
    <w:rsid w:val="00607057"/>
    <w:rsid w:val="006C2402"/>
    <w:rsid w:val="009E1324"/>
    <w:rsid w:val="00B921ED"/>
    <w:rsid w:val="00DF1DFD"/>
    <w:rsid w:val="00F3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2052CCD-6CD4-4985-B321-1A87F5B8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D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1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D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5</cp:revision>
  <dcterms:created xsi:type="dcterms:W3CDTF">2016-02-29T15:37:00Z</dcterms:created>
  <dcterms:modified xsi:type="dcterms:W3CDTF">2016-06-08T07:48:00Z</dcterms:modified>
</cp:coreProperties>
</file>